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A3" w:rsidRDefault="00FE47A3" w:rsidP="00FE47A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«Ответственность за нарушение порядка приема на работу бывшего государственного (муниципального) служащего».</w:t>
      </w:r>
    </w:p>
    <w:p w:rsidR="00FE47A3" w:rsidRDefault="00FE47A3" w:rsidP="00FE47A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E47A3" w:rsidRDefault="00FE47A3" w:rsidP="00FE47A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соответствии с ч. 4 ст. 12 Федерального закона от 25.12.2008 № 273-ФЗ «О противодействии коррупции» работодатель при заключении трудового или гражданско-правового договора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E47A3" w:rsidRDefault="00FE47A3" w:rsidP="00FE47A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В 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29, определены требования к оформлению и содержанию сообщения работодателя.</w:t>
      </w:r>
    </w:p>
    <w:p w:rsidR="00FE47A3" w:rsidRDefault="00FE47A3" w:rsidP="00FE47A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За невыполнение указанных требований наступает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КоАП РФ в виде административного штрафа: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граждан - до 4 000 руб.;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должностных лиц - до 50 000 руб.;</w:t>
      </w:r>
      <w:r>
        <w:rPr>
          <w:b/>
          <w:bCs/>
          <w:color w:val="212121"/>
          <w:sz w:val="28"/>
          <w:szCs w:val="28"/>
          <w:shd w:val="clear" w:color="auto" w:fill="FFFFFF"/>
        </w:rPr>
        <w:t> </w:t>
      </w:r>
      <w:r>
        <w:rPr>
          <w:color w:val="212121"/>
          <w:sz w:val="28"/>
          <w:szCs w:val="28"/>
          <w:shd w:val="clear" w:color="auto" w:fill="FFFFFF"/>
        </w:rPr>
        <w:t>на юридических лиц - до 500 000 руб.</w:t>
      </w:r>
    </w:p>
    <w:p w:rsidR="00FE47A3" w:rsidRDefault="00FE47A3" w:rsidP="00FE47A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По постановлениям органов прокуратуры области в 2020 г. к административной ответственности по ст. 19.29 КоАП РФ привлечено 64 работодателя.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68"/>
    <w:rsid w:val="00387336"/>
    <w:rsid w:val="00DC6E68"/>
    <w:rsid w:val="00FE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A774-FBF1-42FB-A7A5-250D2DDF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2023-05-22T07:28:00Z</dcterms:created>
  <dcterms:modified xsi:type="dcterms:W3CDTF">2023-05-22T07:28:00Z</dcterms:modified>
</cp:coreProperties>
</file>